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17"/>
        <w:gridCol w:w="563"/>
        <w:gridCol w:w="885"/>
        <w:gridCol w:w="1263"/>
        <w:gridCol w:w="1263"/>
        <w:gridCol w:w="1018"/>
        <w:gridCol w:w="1877"/>
      </w:tblGrid>
      <w:tr w:rsidR="00864765" w:rsidRPr="00864765" w14:paraId="2E4397A2" w14:textId="77777777" w:rsidTr="00864765">
        <w:trPr>
          <w:trHeight w:val="23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96B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EVALUACIÓN DEL SISTEMA DE CONTROL INTERNO CONTABLE VIGENCIA 2022</w:t>
            </w:r>
          </w:p>
        </w:tc>
      </w:tr>
      <w:tr w:rsidR="00864765" w:rsidRPr="00864765" w14:paraId="7A0656A1" w14:textId="77777777" w:rsidTr="00864765">
        <w:trPr>
          <w:trHeight w:val="2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F67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500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E37F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7FDE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1D8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682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B58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C9B7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64765" w:rsidRPr="00864765" w14:paraId="2217AFD3" w14:textId="77777777" w:rsidTr="00864765">
        <w:trPr>
          <w:trHeight w:val="23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66E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UNIDAD DE PLANEACION DE INFRAESTRUCTURA DE TRANSPORTE</w:t>
            </w:r>
          </w:p>
        </w:tc>
      </w:tr>
      <w:tr w:rsidR="00864765" w:rsidRPr="00864765" w14:paraId="7D786BDC" w14:textId="77777777" w:rsidTr="00864765">
        <w:trPr>
          <w:trHeight w:val="2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F2B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3D4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AEFF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48F3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63B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9B0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42A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B179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64765" w:rsidRPr="00864765" w14:paraId="0BF1E608" w14:textId="77777777" w:rsidTr="00864765">
        <w:trPr>
          <w:trHeight w:val="235"/>
        </w:trPr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FCECF4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864765" w:rsidRPr="00864765" w14:paraId="0EE85DB8" w14:textId="77777777" w:rsidTr="00864765">
        <w:trPr>
          <w:trHeight w:val="235"/>
        </w:trPr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A12663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ELEMENTOS DEL MARCO NORMATIVO</w:t>
            </w:r>
          </w:p>
        </w:tc>
      </w:tr>
      <w:tr w:rsidR="00864765" w:rsidRPr="00864765" w14:paraId="40AB62AD" w14:textId="77777777" w:rsidTr="00864765">
        <w:trPr>
          <w:trHeight w:val="235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3601A7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 Contables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8E4DB3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EB9BFF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706466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6C828A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7CB4CF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D54FE4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864765" w:rsidRPr="00864765" w14:paraId="4C40B1AC" w14:textId="77777777" w:rsidTr="00864765">
        <w:trPr>
          <w:trHeight w:val="117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56F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626C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 entidad ha definido las políticas contables que debe aplicar para el reconocimiento, medición, revelación y presentación de los hechos económicos de acuerdo con el marco normativo que le corresponde aplicar?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14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E4A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B06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BE2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C53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05BB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Mediante la resolución 080 del 14 de septiembre de 2022 se adoptó el manual de políticas contables el cual hasta la fecha no ha presentado ninguna actualización</w:t>
            </w:r>
          </w:p>
        </w:tc>
      </w:tr>
      <w:tr w:rsidR="00864765" w:rsidRPr="00864765" w14:paraId="3D35F1FE" w14:textId="77777777" w:rsidTr="00864765">
        <w:trPr>
          <w:trHeight w:val="141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EC0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7D05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socializan las políticas con el personal involucrado en el proceso contable?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21E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62C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273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3BD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C9E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3188" w14:textId="5E9F30FF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comité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técnico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sostenibilidad contable, realizado el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día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25 de agosto de 2022, mediante acta No. 1 se socializa el manual de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mediante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power point al personal involucrado en el proceso contable.</w:t>
            </w:r>
          </w:p>
        </w:tc>
      </w:tr>
      <w:tr w:rsidR="00864765" w:rsidRPr="00864765" w14:paraId="1D5A8A3E" w14:textId="77777777" w:rsidTr="00864765">
        <w:trPr>
          <w:trHeight w:val="141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70F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1.2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AFD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políticas establecidas son aplicadas en el desarrollo del proceso contable?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909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868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3C1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188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AD6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8217" w14:textId="18887C98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De acuerdo con la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revisión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realizada de la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recibida por parte del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área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contable, se puede evidenciar que las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establecidas por la entidad en el manual de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contables, son aplicadas en el desarrollo del ejercicio contable </w:t>
            </w:r>
          </w:p>
        </w:tc>
      </w:tr>
      <w:tr w:rsidR="00864765" w:rsidRPr="00864765" w14:paraId="5F02ACC3" w14:textId="77777777" w:rsidTr="00864765">
        <w:trPr>
          <w:trHeight w:val="94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36D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1.3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2A3B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políticas contables responden a la naturaleza y a la actividad de la entidad?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D58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697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063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4B7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175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D2F4" w14:textId="53B45F4A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Las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establecidas responden a la naturaleza y actividad de la UPIT, y se basan en el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régimen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contabilidad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pública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864765" w:rsidRPr="00864765" w14:paraId="43FF87F8" w14:textId="77777777" w:rsidTr="00864765">
        <w:trPr>
          <w:trHeight w:val="141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91A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1.4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75B6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políticas contables propenden por la representación fiel de la información financiera?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951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7D1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738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486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3D4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027F" w14:textId="318D80B6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manual de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de la UPIT, cumple con las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características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fundamentales de relevancia y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representación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fiel definidas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 el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Régimen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Contabilidad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Publica para la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los Estados Financieros de forma confiable.</w:t>
            </w:r>
          </w:p>
        </w:tc>
      </w:tr>
      <w:tr w:rsidR="00864765" w:rsidRPr="00864765" w14:paraId="20487350" w14:textId="77777777" w:rsidTr="00864765">
        <w:trPr>
          <w:trHeight w:val="26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1A06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255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F158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9C46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2B6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FA7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A45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1,00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A18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4766F515" w14:textId="77777777" w:rsidR="000E540C" w:rsidRDefault="000E540C"/>
    <w:tbl>
      <w:tblPr>
        <w:tblW w:w="8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27"/>
        <w:gridCol w:w="501"/>
        <w:gridCol w:w="776"/>
        <w:gridCol w:w="1469"/>
        <w:gridCol w:w="1099"/>
        <w:gridCol w:w="890"/>
        <w:gridCol w:w="2102"/>
      </w:tblGrid>
      <w:tr w:rsidR="00864765" w:rsidRPr="00864765" w14:paraId="0C196D89" w14:textId="77777777" w:rsidTr="00864765">
        <w:trPr>
          <w:trHeight w:val="164"/>
        </w:trPr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8BBCD" w14:textId="2C14038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864765" w:rsidRPr="00864765" w14:paraId="21BFF29A" w14:textId="77777777" w:rsidTr="00864765">
        <w:trPr>
          <w:trHeight w:val="1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CDE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F18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8CA1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F799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6CD7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602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8F29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ED51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64765" w:rsidRPr="00864765" w14:paraId="0BE55850" w14:textId="77777777" w:rsidTr="00864765">
        <w:trPr>
          <w:trHeight w:val="164"/>
        </w:trPr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BDEF" w14:textId="16D8237E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864765" w:rsidRPr="00864765" w14:paraId="5536CECA" w14:textId="77777777" w:rsidTr="00864765">
        <w:trPr>
          <w:trHeight w:val="1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AA6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649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1A90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0B4F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BF6C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777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D2EB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4E2C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64765" w:rsidRPr="00864765" w14:paraId="745FB05F" w14:textId="77777777" w:rsidTr="00864765">
        <w:trPr>
          <w:trHeight w:val="164"/>
        </w:trPr>
        <w:tc>
          <w:tcPr>
            <w:tcW w:w="8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2A80F4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864765" w:rsidRPr="00864765" w14:paraId="50C1945A" w14:textId="77777777" w:rsidTr="00864765">
        <w:trPr>
          <w:trHeight w:val="164"/>
        </w:trPr>
        <w:tc>
          <w:tcPr>
            <w:tcW w:w="8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5FE1D9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ELEMENTOS DEL MARCO NORMATIVO</w:t>
            </w:r>
          </w:p>
        </w:tc>
      </w:tr>
      <w:tr w:rsidR="00864765" w:rsidRPr="00864765" w14:paraId="56D15FCC" w14:textId="77777777" w:rsidTr="00864765">
        <w:trPr>
          <w:trHeight w:val="164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D65158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 de Operación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9F7341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B96D0C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3D3CAB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F13B9D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2CC9F1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00A54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864765" w:rsidRPr="00864765" w14:paraId="373B5EC9" w14:textId="77777777" w:rsidTr="00864765">
        <w:trPr>
          <w:trHeight w:val="986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FF2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9605" w14:textId="0485D914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¿Se establecen instrumentos (planes, procedimientos, manuales, reglas de negocio, guías, </w:t>
            </w:r>
            <w:r w:rsidR="006F7FA1"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etc.</w:t>
            </w: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) para el seguimiento al cumplimiento de los planes de mejoramiento derivados de </w:t>
            </w: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los hallazgos de auditoría interna o externa?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E90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6A2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DFC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13D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CF3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159F" w14:textId="071A1248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Unidad de Planeación de Infraestructura de Transporte no cuenta con procedimientos definidos del ciclo contable. hasta la fecha la UPIT no ha tenido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auditorías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internas ni externas </w:t>
            </w:r>
          </w:p>
        </w:tc>
      </w:tr>
      <w:tr w:rsidR="00864765" w:rsidRPr="00864765" w14:paraId="581CA146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1FC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2E0B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socializan estos instrumentos de seguimiento con los responsables?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2A7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381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F0A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99B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501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DAD3" w14:textId="1B666595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Debido a que no existen procedimientos, el seguimiento se realiza siguiendo los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parámetros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SIIF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864765" w:rsidRPr="00864765" w14:paraId="3EA725B9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E55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8F4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hace seguimiento o monitoreo al cumplimiento de los planes de mejoramiento?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771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B72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2E2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BB8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F63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E488" w14:textId="231FA9FD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Hasta el momento no se cuentan con planes de mejoramiento ya que a la fecha la entidad no ha sido objeto de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auditoría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864765" w:rsidRPr="00864765" w14:paraId="20E7A46F" w14:textId="77777777" w:rsidTr="00864765">
        <w:trPr>
          <w:trHeight w:val="131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0EC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1F8A" w14:textId="6D1438B1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¿La entidad cuenta con una política o instrumento (procedimiento, manual, regla de negocio, guía, instructivo, etc.) tendiente a facilitar el flujo de información relativo a los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hechos económicos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originados en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cualquier dependencia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BCA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7CD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BE5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C39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ED6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1E99" w14:textId="3094ECD1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Unidad de Planeación de Infraestructura de Transporte no cuenta con procedimientos definidos el ciclo contable, el control y procedimiento se hace internamente a cargo de los profesionales de financiera de acuerdo con el marco normativo de la Contaduría General de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Nación y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parámetros de SIIF Nación.</w:t>
            </w:r>
          </w:p>
        </w:tc>
      </w:tr>
      <w:tr w:rsidR="00864765" w:rsidRPr="00864765" w14:paraId="0AE70985" w14:textId="77777777" w:rsidTr="00864765">
        <w:trPr>
          <w:trHeight w:val="657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E96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CFCC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socializan estas herramientas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667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437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DF1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F57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83D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8083" w14:textId="25BD1A44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Debido a que no existen procedimientos, el seguimiento se realiza siguiendo los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parámetros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SIIF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y el marco normativo de la Contaduría General </w:t>
            </w:r>
          </w:p>
        </w:tc>
      </w:tr>
      <w:tr w:rsidR="00864765" w:rsidRPr="00864765" w14:paraId="59D492D6" w14:textId="77777777" w:rsidTr="00864765">
        <w:trPr>
          <w:trHeight w:val="657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E45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EFB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tienen identificados los documentos idóneos mediante los cuales se informa al área contable?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FAD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FEE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A44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PARCIALMENTE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130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BCF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7698" w14:textId="293640B1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aunque la entidad no cuenta con un procedimiento, internamente se tienen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identificados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los documentos con los cuales se informa al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área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</w:t>
            </w:r>
          </w:p>
        </w:tc>
      </w:tr>
      <w:tr w:rsidR="00864765" w:rsidRPr="00864765" w14:paraId="4F84DBBF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11F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3.3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95CA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¿Existen procedimientos internos documentados que faciliten la aplicación de la política?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246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2C5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94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A95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F83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9FC3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no cuenta con procedimientos internos documentados.</w:t>
            </w:r>
          </w:p>
        </w:tc>
      </w:tr>
      <w:tr w:rsidR="00864765" w:rsidRPr="00864765" w14:paraId="6BB1BD16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1B6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49A3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ha implementado una política o instrumento (directriz, procedimiento, guía o lineamiento) sobre la identificación de los bienes físicos en forma individualizada dentro del proceso contable de la entidad?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B86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E8A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BA8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PARCIALMENTE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12D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FD5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1686" w14:textId="4DD4633E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existe una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o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instrumento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como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tal,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pero si se tienen identificados e individualizados los bienes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físicos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dentro del proceso.</w:t>
            </w:r>
          </w:p>
        </w:tc>
      </w:tr>
      <w:tr w:rsidR="00864765" w:rsidRPr="00864765" w14:paraId="3D65052E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EDD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9D96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ha socializado este instrumento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br/>
              <w:t>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51B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CB9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78A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PARCIALMENTE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C6C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97A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004A" w14:textId="03E0333C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socializa en el momento que al personal se le asigne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algún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bien.</w:t>
            </w:r>
          </w:p>
        </w:tc>
      </w:tr>
      <w:tr w:rsidR="00864765" w:rsidRPr="00864765" w14:paraId="6870A4AA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779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0F47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la individualización de los bienes físicos?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FE9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F07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05B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C47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6B9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4FA7" w14:textId="427B3204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Upit realiza de forma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manual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registro de los bienes y se verifico cuando ingresaron en el primer semestre del año 2022.</w:t>
            </w:r>
          </w:p>
        </w:tc>
      </w:tr>
      <w:tr w:rsidR="00864765" w:rsidRPr="00864765" w14:paraId="05ABC43A" w14:textId="77777777" w:rsidTr="00864765">
        <w:trPr>
          <w:trHeight w:val="657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F64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10E8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cuenta con una directriz, guía o procedimiento para realizar las conciliaciones de las partidas más relevantes, a fin de lograr una adecuada identificación y medición?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6B9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B15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D5E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F36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F45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32C6" w14:textId="65C5287E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Manual de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se definen las cuentas conciliables para lograr una adecuada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identificación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y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864765" w:rsidRPr="00864765" w14:paraId="5EEC2DA7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A6E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5.1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EBB4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¿Se socializan estas directrices,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guías o procedimientos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19C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BD4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B3D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2CA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CB9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9620" w14:textId="5A9A8A10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Manual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incluyen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las directrices de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 xml:space="preserve">conciliaciones de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entre el grupo de contabilidad. </w:t>
            </w:r>
          </w:p>
        </w:tc>
      </w:tr>
      <w:tr w:rsidR="00864765" w:rsidRPr="00864765" w14:paraId="5C7DD89A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4C5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5.2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8171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la aplicación de estas directrices, guías o procedimientos?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808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8E0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B97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440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6C8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427E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 </w:t>
            </w:r>
          </w:p>
        </w:tc>
      </w:tr>
      <w:tr w:rsidR="00864765" w:rsidRPr="00864765" w14:paraId="2CD156A1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7D4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3914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cuenta con una directriz, guía, lineamiento, procedimiento o instrucción en que se defina la segregación de funciones (autorizaciones, registros y manejos) dentro de los procesos contables?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BE5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A04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509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267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B37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CF52" w14:textId="6616A042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entidad aun no cuenta con un procedimiento en el cual defina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segregación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funciones en el registro y manejo de los procesos contables </w:t>
            </w:r>
          </w:p>
        </w:tc>
      </w:tr>
      <w:tr w:rsidR="00864765" w:rsidRPr="00864765" w14:paraId="6187D950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302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6.1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6E48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 esta directriz, guía, lineamiento, procedimiento o instrucción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B4D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AF0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CDF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9E2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CEF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5AA9" w14:textId="4657168D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Teniendo en cuenta que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aún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no existe un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procedimiento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para tal fin, no se puede realizar una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socialización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</w:p>
        </w:tc>
      </w:tr>
      <w:tr w:rsidR="00864765" w:rsidRPr="00864765" w14:paraId="12281E53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BCB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6.2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719E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el cumplimiento de esta directriz, guía, lineamiento, procedimiento o instrucción?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B7C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3C9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E9D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B2C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F49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B680" w14:textId="632532B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Una vez se cuente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 el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procedimiento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realizará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seguimiento para su cumplimiento.</w:t>
            </w:r>
          </w:p>
        </w:tc>
      </w:tr>
      <w:tr w:rsidR="00864765" w:rsidRPr="00864765" w14:paraId="74018144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171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9FE1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cuenta con una directriz, procedimiento, guía, lineamiento o instrucción para la presentación oportuna de la información financiera?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6D9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985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406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901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34F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1423" w14:textId="299B989E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Actualmente la Entidad se encuentra elaborando los lineamientos para la presentación de la información financiera, no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obstante,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esta se presenta con base en el marco normativo de la CGN. </w:t>
            </w:r>
          </w:p>
        </w:tc>
      </w:tr>
      <w:tr w:rsidR="00864765" w:rsidRPr="00864765" w14:paraId="258D89D7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05F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7.1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9CBC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 esta directriz, guía, lineamiento, procedimiento o instrucción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C79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D56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8E1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A84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6DC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52A7" w14:textId="52F0198D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Una vez se cuente con el procedimiento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socializará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864765" w:rsidRPr="00864765" w14:paraId="364586E0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C74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7.2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0E9D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cumple con la directriz, guía, lineamiento, procedimiento o instrucción?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87B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03F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542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0B9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C59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5055" w14:textId="0A965C7F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Una vez se cuente con el procedimiento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realizará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seguimiento para el cumplimiento.</w:t>
            </w:r>
          </w:p>
        </w:tc>
      </w:tr>
      <w:tr w:rsidR="00864765" w:rsidRPr="00864765" w14:paraId="2D226658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097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7FD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¿Existe un procedimiento para llevar a cabo, en forma adecuada, el cierre integral de la información producida en las áreas o dependencias que generan hechos económicos?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170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E71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5A1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CE9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8E2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5E25" w14:textId="037FD930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secretaria general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emitió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memorando interno con radicado 2022-RI-150-192-3 del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día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02 de diciembre de 2022 donde se imparten lineamientos para realizar un adecuado cierre financiero de la vigencia 2022.</w:t>
            </w:r>
          </w:p>
        </w:tc>
      </w:tr>
      <w:tr w:rsidR="00864765" w:rsidRPr="00864765" w14:paraId="4C2C4E6E" w14:textId="77777777" w:rsidTr="00864765">
        <w:trPr>
          <w:trHeight w:val="1315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119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9C9B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 este procedimiento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BC7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69D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341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526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3EB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D1A4" w14:textId="7A99546D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memorando 2022-RI-150-192-3 emitida por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secretaria general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la UPIT, fue socializada por correo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electrónico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 los funcionarios de la entidad, de igual forma el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día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noviembre 21 de 2022 se realiza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capacitación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al personal involucrado donde se realiza capacitación Virtual cierre de vigencia 2022 y apertura 2023.</w:t>
            </w:r>
          </w:p>
        </w:tc>
      </w:tr>
      <w:tr w:rsidR="00864765" w:rsidRPr="00864765" w14:paraId="5892EE18" w14:textId="77777777" w:rsidTr="00864765">
        <w:trPr>
          <w:trHeight w:val="657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A13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5B62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cumple con el procedimiento?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773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920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6D1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93D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F36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9A57" w14:textId="6D7CE5CF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evidencia el cumplimiento de un adecuado cierre y oportuna entrega de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 los tiempos establecidos por la entidad, que se ve reflejada en los estados financieros</w:t>
            </w:r>
          </w:p>
        </w:tc>
      </w:tr>
      <w:tr w:rsidR="00864765" w:rsidRPr="00864765" w14:paraId="1DD80866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FD8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6368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 entidad tiene implementadas directrices, procedimientos, guías o lineamientos para realizar periódicamente inventarios y cruces de información, que le permitan verificar la existencia de activos y pasivos?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898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373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23A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DD1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B69A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C1F" w14:textId="77777777" w:rsidR="00864765" w:rsidRPr="00864765" w:rsidRDefault="00864765" w:rsidP="00864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86476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La entidad se encuentra en el proceso de elaboración de procedimientos.</w:t>
            </w:r>
          </w:p>
        </w:tc>
      </w:tr>
      <w:tr w:rsidR="00864765" w:rsidRPr="00864765" w14:paraId="7076DE41" w14:textId="77777777" w:rsidTr="00864765">
        <w:trPr>
          <w:trHeight w:val="657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038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9.1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118B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socializan las directrices, procedimientos, guías o lineamientos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A26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A63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E47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9A2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997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8AB9" w14:textId="0A96F821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existen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procedimientos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, se encuentran en proceso de elaboración. Una vez las mismas sean divulgadas, serán socializadas debidamente. </w:t>
            </w:r>
          </w:p>
        </w:tc>
      </w:tr>
      <w:tr w:rsidR="00864765" w:rsidRPr="00864765" w14:paraId="30A2E1F6" w14:textId="77777777" w:rsidTr="00864765">
        <w:trPr>
          <w:trHeight w:val="328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57F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9.2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EF1C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cumple con estas directrices, procedimientos, guías o lineamientos?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BE1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608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5E3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DDF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3E9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112E" w14:textId="156956EB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Una vez se cuente con los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procedimientos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,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guías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o lineamientos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dará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cumplimiento.</w:t>
            </w:r>
          </w:p>
        </w:tc>
      </w:tr>
      <w:tr w:rsidR="00864765" w:rsidRPr="00864765" w14:paraId="22F59EB9" w14:textId="77777777" w:rsidTr="00864765">
        <w:trPr>
          <w:trHeight w:val="821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627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A594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tienen establecidas directrices, procedimientos, instrucciones, o lineamientos sobre análisis, depuración y seguimiento de cuentas para el mejoramiento y sostenibilidad de la calidad de la información?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E37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887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886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D57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487B2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B53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 la fecha la UPIT no cuenta con los directrices procedimientos instrucciones o lineamientos. Sin embargo, los mismos están en proceso de elaboración</w:t>
            </w:r>
          </w:p>
        </w:tc>
      </w:tr>
      <w:tr w:rsidR="00864765" w:rsidRPr="00864765" w14:paraId="52B49A4B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E01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10.1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DE19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socializan estas directrices, procedimientos, instrucciones, o lineamientos con el personal involucrado en el proceso?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35B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255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4F9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4D4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26F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6000" w14:textId="5960DD86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se cuenta con procedimientos por tanto no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socializarán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una vez se cuenten con estos.</w:t>
            </w:r>
          </w:p>
        </w:tc>
      </w:tr>
      <w:tr w:rsidR="00864765" w:rsidRPr="00864765" w14:paraId="0C88F908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153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10.2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0DB7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¿Existen mecanismos para verificar el cumplimiento de estas directrices, procedimientos, instrucciones, o lineamientos?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EF6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59E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DD9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9CF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3859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83E7" w14:textId="500104F4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Cuando se cuente con los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procedimientos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verificará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cumplimiento de los mismos </w:t>
            </w:r>
          </w:p>
        </w:tc>
      </w:tr>
      <w:tr w:rsidR="00864765" w:rsidRPr="00864765" w14:paraId="6FBAD7AF" w14:textId="77777777" w:rsidTr="00864765">
        <w:trPr>
          <w:trHeight w:val="493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5FA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10.3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68E7" w14:textId="621B3D7D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¿El análisis,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depuración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y el seguimiento de cuentas se realiza permanentemente o por lo menos periódicamente?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3AA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4FF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B5A1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BC9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34F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ADF8" w14:textId="0DFA984B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Mensualmente se realiza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análisis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y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depuración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 el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propósito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que los registros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coincida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 la realidad de la entidad </w:t>
            </w:r>
          </w:p>
        </w:tc>
      </w:tr>
      <w:tr w:rsidR="00864765" w:rsidRPr="00864765" w14:paraId="450A02A3" w14:textId="77777777" w:rsidTr="00864765">
        <w:trPr>
          <w:trHeight w:val="182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578C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832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5626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D2DC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20B6" w14:textId="77777777" w:rsidR="00864765" w:rsidRPr="00864765" w:rsidRDefault="00864765" w:rsidP="008647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90F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9CC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4,03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CBC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7739D144" w14:textId="77777777" w:rsidR="00864765" w:rsidRDefault="00864765"/>
    <w:p w14:paraId="49B100A2" w14:textId="77777777" w:rsidR="00864765" w:rsidRDefault="00864765"/>
    <w:p w14:paraId="1AB99F11" w14:textId="77777777" w:rsidR="00864765" w:rsidRDefault="00864765"/>
    <w:tbl>
      <w:tblPr>
        <w:tblW w:w="9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786"/>
        <w:gridCol w:w="563"/>
        <w:gridCol w:w="885"/>
        <w:gridCol w:w="1263"/>
        <w:gridCol w:w="1263"/>
        <w:gridCol w:w="1018"/>
        <w:gridCol w:w="1699"/>
      </w:tblGrid>
      <w:tr w:rsidR="00864765" w:rsidRPr="00864765" w14:paraId="6A0222C3" w14:textId="77777777" w:rsidTr="00864765">
        <w:trPr>
          <w:trHeight w:val="252"/>
        </w:trPr>
        <w:tc>
          <w:tcPr>
            <w:tcW w:w="9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FBABD6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864765" w:rsidRPr="00864765" w14:paraId="6A7F6038" w14:textId="77777777" w:rsidTr="00864765">
        <w:trPr>
          <w:trHeight w:val="252"/>
        </w:trPr>
        <w:tc>
          <w:tcPr>
            <w:tcW w:w="9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EFC922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864765" w:rsidRPr="00864765" w14:paraId="3991D714" w14:textId="77777777" w:rsidTr="00864765">
        <w:trPr>
          <w:trHeight w:val="252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39B28F9" w14:textId="65D2C319" w:rsidR="00864765" w:rsidRPr="00864765" w:rsidRDefault="006F7FA1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Clasificación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27FB01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794830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773A7B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AF6013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A990D1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C9920F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864765" w:rsidRPr="00864765" w14:paraId="1C318CAE" w14:textId="77777777" w:rsidTr="00864765">
        <w:trPr>
          <w:trHeight w:val="1263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4FB13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D575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utiliza la versión actualizada del Catálogo General de Cuentas correspondiente al marco normativo aplicable a la entidad?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9CE8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3AFC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B30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144D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9D3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5A79" w14:textId="07B44C50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catálogo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general de cuentas corresponde 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CGC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Versión 2015.14 correspondiente a la Resolución 620 de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2015 según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marco normativo y su actualización se realiza semestralmente.</w:t>
            </w:r>
          </w:p>
        </w:tc>
      </w:tr>
      <w:tr w:rsidR="00864765" w:rsidRPr="00864765" w14:paraId="44D6473B" w14:textId="77777777" w:rsidTr="00864765">
        <w:trPr>
          <w:trHeight w:val="1011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B5F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14.1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CA5F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realizan revisiones permanentes sobre la vigencia del catálogo de cuentas?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86F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6D25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263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FCE6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D320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6F15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Mediante el aplicativo SIIF se valida que el catálogo de cuentas corresponda a la versión actualizada de la Contaduría General de la Nación.</w:t>
            </w:r>
          </w:p>
        </w:tc>
      </w:tr>
      <w:tr w:rsidR="00864765" w:rsidRPr="00864765" w14:paraId="247B1A51" w14:textId="77777777" w:rsidTr="00864765">
        <w:trPr>
          <w:trHeight w:val="1011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6AA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D97E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llevan registros individualizados de los hechos económicos ocurridos en la entidad?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999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992F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A40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F12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5E07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E904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lleva de forma individual y por tercero los hechos económicos ocurridos, como se pudo verificar en los registros de SIIF.</w:t>
            </w:r>
          </w:p>
        </w:tc>
      </w:tr>
      <w:tr w:rsidR="00864765" w:rsidRPr="00864765" w14:paraId="534D4A22" w14:textId="77777777" w:rsidTr="00864765">
        <w:trPr>
          <w:trHeight w:val="1011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636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15.1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29D0" w14:textId="77777777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¿En el proceso de clasificación se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consideran los criterios definidos en 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br/>
              <w:t>el marco normativo aplicable a la entidad?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C28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07E4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94EA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9BBE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8D7B" w14:textId="77777777" w:rsidR="00864765" w:rsidRPr="00864765" w:rsidRDefault="00864765" w:rsidP="00864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9022" w14:textId="40D55630" w:rsidR="00864765" w:rsidRPr="00864765" w:rsidRDefault="00864765" w:rsidP="00864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clasificación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los hechos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económicos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 realiza atendiendo los criterios del Manual de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y la </w:t>
            </w:r>
            <w:r w:rsidR="006F7FA1"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normativa</w:t>
            </w:r>
            <w:r w:rsidRPr="008647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aplicable a la entidad.</w:t>
            </w:r>
          </w:p>
        </w:tc>
      </w:tr>
    </w:tbl>
    <w:p w14:paraId="5B5584E3" w14:textId="77777777" w:rsidR="00864765" w:rsidRDefault="00864765"/>
    <w:p w14:paraId="6D423CD0" w14:textId="77777777" w:rsidR="00864765" w:rsidRDefault="00864765"/>
    <w:p w14:paraId="02AE7B63" w14:textId="77777777" w:rsidR="00864765" w:rsidRDefault="00864765"/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864"/>
        <w:gridCol w:w="563"/>
        <w:gridCol w:w="885"/>
        <w:gridCol w:w="1263"/>
        <w:gridCol w:w="1263"/>
        <w:gridCol w:w="1018"/>
        <w:gridCol w:w="1761"/>
      </w:tblGrid>
      <w:tr w:rsidR="00361246" w:rsidRPr="00361246" w14:paraId="38BEC4ED" w14:textId="77777777" w:rsidTr="00361246">
        <w:trPr>
          <w:trHeight w:val="245"/>
        </w:trPr>
        <w:tc>
          <w:tcPr>
            <w:tcW w:w="9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CDD818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48EA22EC" w14:textId="77777777" w:rsidTr="00361246">
        <w:trPr>
          <w:trHeight w:val="245"/>
        </w:trPr>
        <w:tc>
          <w:tcPr>
            <w:tcW w:w="9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958A5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2E656AD9" w14:textId="77777777" w:rsidTr="00361246">
        <w:trPr>
          <w:trHeight w:val="24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94A8B5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Registro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BD0F0D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9B30B5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4C7EAA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481791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60EFCD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80762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48E1243A" w14:textId="77777777" w:rsidTr="00361246">
        <w:trPr>
          <w:trHeight w:val="98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D8A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65FF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hechos económicos se contabilizan cronológicamente?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AD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794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EAA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4D4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688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68BF" w14:textId="4A46897C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registros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se realizan de acuerdo al periodo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garantizando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orden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cronológico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361246" w:rsidRPr="00361246" w14:paraId="05ABB2B3" w14:textId="77777777" w:rsidTr="00361246">
        <w:trPr>
          <w:trHeight w:val="1226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B1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16.1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81B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el registro contable cronológico de los hechos económicos?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934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5FB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91F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E00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7B0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B482" w14:textId="42A26E05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Al momento de realizar el registro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verifica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orden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cronológico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igual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forma el SIIF genera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comprobante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automáticamente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</w:p>
        </w:tc>
      </w:tr>
      <w:tr w:rsidR="00361246" w:rsidRPr="00361246" w14:paraId="0A59E592" w14:textId="77777777" w:rsidTr="00361246">
        <w:trPr>
          <w:trHeight w:val="98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3DD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16.2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3F8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el registro consecutivo de los hechos económicos en los libros de contabilidad?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7F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BA3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8E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1D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305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334D" w14:textId="6F96494A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consecutivo lo genera SIIF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forma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automática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</w:tc>
      </w:tr>
      <w:tr w:rsidR="00361246" w:rsidRPr="00361246" w14:paraId="651418C5" w14:textId="77777777" w:rsidTr="00361246">
        <w:trPr>
          <w:trHeight w:val="147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C84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85D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hechos económicos registrados están respaldados en documentos soporte idóneos?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637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CED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8BD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3F8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F84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A21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entidad cuenta con un listado de documentos que deben estar adjuntos a los soportes contables, respecto de los cuales se verifica que cumplan con los requisitos legales. </w:t>
            </w:r>
          </w:p>
        </w:tc>
      </w:tr>
      <w:tr w:rsidR="00361246" w:rsidRPr="00361246" w14:paraId="71782008" w14:textId="77777777" w:rsidTr="00361246">
        <w:trPr>
          <w:trHeight w:val="1226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340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17.1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D10D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que los registros contables cuenten con los documentos de origen interno o externo que los soporten?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B7C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9E1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A18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D68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A36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B1DC" w14:textId="0B10ECEB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Cuando se va a realizar el registro de los comprobantes contables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verídica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si se cuentan con los documentos exigidos.</w:t>
            </w:r>
          </w:p>
        </w:tc>
      </w:tr>
      <w:tr w:rsidR="00361246" w:rsidRPr="00361246" w14:paraId="645822A3" w14:textId="77777777" w:rsidTr="00361246">
        <w:trPr>
          <w:trHeight w:val="147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CE5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17.2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B332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conservan y custodian los documentos soporte?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60B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980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652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134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9F0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A7EF" w14:textId="5D158AA3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archivo de contabilidad reposan los documentos contables los cuales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están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debidamente archivados de acuerdo a las normas legales vigentes.</w:t>
            </w:r>
          </w:p>
        </w:tc>
      </w:tr>
      <w:tr w:rsidR="00361246" w:rsidRPr="00361246" w14:paraId="75CAE305" w14:textId="77777777" w:rsidTr="00361246">
        <w:trPr>
          <w:trHeight w:val="1226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A48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A1CF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¿Para el registro de los hechos económicos, se elaboran los respectivos comprobantes de contabilidad?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5DD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BA3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201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5CB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89A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11C8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Para cada registro se realiza se realiza su respectivo comprobante de contabilidad </w:t>
            </w:r>
          </w:p>
        </w:tc>
      </w:tr>
      <w:tr w:rsidR="00361246" w:rsidRPr="00361246" w14:paraId="64C7BCC4" w14:textId="77777777" w:rsidTr="00361246">
        <w:trPr>
          <w:trHeight w:val="735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2DF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18.1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BC4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comprobantes de contabilidad se realizan cronológicamente?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23C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21F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118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9FB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2AE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E04D" w14:textId="75D4AE64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Los comprobantes se realizan de manera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cronológica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</w:tc>
      </w:tr>
      <w:tr w:rsidR="00361246" w:rsidRPr="00361246" w14:paraId="6B275C9F" w14:textId="77777777" w:rsidTr="00361246">
        <w:trPr>
          <w:trHeight w:val="1226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A06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18.2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F977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comprobantes de contabilidad se enumeran consecutivamente?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1B9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C6D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6B5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990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EE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093E" w14:textId="2811D66B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numeración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comprobantes lo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genera de manera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automática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el aplicativo SIIF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garantizando su orden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consecutivo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</w:tr>
      <w:tr w:rsidR="00361246" w:rsidRPr="00361246" w14:paraId="58B53644" w14:textId="77777777" w:rsidTr="00361246">
        <w:trPr>
          <w:trHeight w:val="173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3C7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9E7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libros de contabilidad se encuentran debidamente soportados en comprobantes de contabilidad?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AFF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B9E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5E0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481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6B01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648" w14:textId="77777777" w:rsidR="00361246" w:rsidRPr="00361246" w:rsidRDefault="00361246" w:rsidP="003612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124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Los libros de contabilidad tanto en su presentación mayor y diario se encuentran en concordancia con los comprobantes contables registrados.</w:t>
            </w:r>
          </w:p>
        </w:tc>
      </w:tr>
      <w:tr w:rsidR="00361246" w:rsidRPr="00361246" w14:paraId="7C6CAD48" w14:textId="77777777" w:rsidTr="00361246">
        <w:trPr>
          <w:trHeight w:val="1226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ADF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19.1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A4D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 información de los libros de contabilidad coincide con la registrada en los comprobantes de contabilidad?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492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ACE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67B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E2F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78F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884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realiza el descargue de dichos comprobantes y revisa que la información registrada en los comprobantes sea igual a la de los libros oficiales.</w:t>
            </w:r>
          </w:p>
        </w:tc>
      </w:tr>
      <w:tr w:rsidR="00361246" w:rsidRPr="00361246" w14:paraId="450A5C2D" w14:textId="77777777" w:rsidTr="00361246">
        <w:trPr>
          <w:trHeight w:val="1717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AAC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19.2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657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En caso de haber diferencias entre los registros en los libros y los comprobantes de contabilidad, ¿se realizan las conciliaciones y ajustes necesarios?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6F1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043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E48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9B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B8E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71ED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En caso de que exista diferencia, se debe realiza la conciliación, soportada y justificada en detalle de la razón de la diferencia y como se debe realizar el ajuste para subsanar dicha diferencia.</w:t>
            </w:r>
          </w:p>
        </w:tc>
      </w:tr>
      <w:tr w:rsidR="00361246" w:rsidRPr="00361246" w14:paraId="3B2B0269" w14:textId="77777777" w:rsidTr="00361246">
        <w:trPr>
          <w:trHeight w:val="2885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F045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36D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¿Existe algún mecanismo a través del cual se verifique la completitud de los registros contables?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1A5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70F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B8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9B5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BDD11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915" w14:textId="77777777" w:rsidR="00361246" w:rsidRPr="00361246" w:rsidRDefault="00361246" w:rsidP="003612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124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Al interior del área contable se realiza la verificación del comprobante realizando el análisis del mismo y que contenga el soporte y hojas de trabajo del registro de dichos comprobantes los cuales deben estar organizados cronológicamente y con los soportes.</w:t>
            </w:r>
          </w:p>
        </w:tc>
      </w:tr>
      <w:tr w:rsidR="00361246" w:rsidRPr="00361246" w14:paraId="5942E0E8" w14:textId="77777777" w:rsidTr="00361246">
        <w:trPr>
          <w:trHeight w:val="202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506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20.1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8771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¿Dicho mecanismo se aplica de manera permanente o periódica?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E11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8CB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0BA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A2B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0818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A15" w14:textId="77777777" w:rsidR="00361246" w:rsidRPr="00361246" w:rsidRDefault="00361246" w:rsidP="003612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1246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 realiza una primera validación al momento del registro, y mensualmente se realiza la revisión de la totalidad del comprobante teniendo en cuenta los soportes adjuntos.</w:t>
            </w:r>
          </w:p>
        </w:tc>
      </w:tr>
      <w:tr w:rsidR="00361246" w:rsidRPr="00361246" w14:paraId="4095F75B" w14:textId="77777777" w:rsidTr="00361246">
        <w:trPr>
          <w:trHeight w:val="1962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16D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5242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libros de contabilidad se encuentran actualizados y sus saldos están de acuerdo con el último informe trimestral transmitido a la Contaduría General de la Nación?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762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CD1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DEC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3AD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BC3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7F92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Al momento de realizar los informes trimestrales a la Contaduría General de la Nación se realizó el análisis, revisión y verificación de los libros de contabilidad con informes de saldos y movimientos actualizados.</w:t>
            </w:r>
          </w:p>
        </w:tc>
      </w:tr>
      <w:tr w:rsidR="00361246" w:rsidRPr="00361246" w14:paraId="75BCBAF9" w14:textId="77777777" w:rsidTr="00361246">
        <w:trPr>
          <w:trHeight w:val="24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2683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623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47D3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540D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4DDD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FAA5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39E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5,00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071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39341064" w14:textId="77777777" w:rsidR="00864765" w:rsidRDefault="00864765"/>
    <w:p w14:paraId="330FE60A" w14:textId="77777777" w:rsidR="00361246" w:rsidRDefault="00361246"/>
    <w:p w14:paraId="140E720D" w14:textId="77777777" w:rsidR="00361246" w:rsidRDefault="00361246"/>
    <w:p w14:paraId="7B1A8990" w14:textId="77777777" w:rsidR="00361246" w:rsidRDefault="00361246"/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740"/>
        <w:gridCol w:w="563"/>
        <w:gridCol w:w="885"/>
        <w:gridCol w:w="1263"/>
        <w:gridCol w:w="1263"/>
        <w:gridCol w:w="1018"/>
        <w:gridCol w:w="1916"/>
      </w:tblGrid>
      <w:tr w:rsidR="00361246" w:rsidRPr="00361246" w14:paraId="69508D8A" w14:textId="77777777" w:rsidTr="00361246">
        <w:trPr>
          <w:trHeight w:val="251"/>
        </w:trPr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753ABC2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4C9C584D" w14:textId="77777777" w:rsidTr="00361246">
        <w:trPr>
          <w:trHeight w:val="251"/>
        </w:trPr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252C6A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1ECE1A64" w14:textId="77777777" w:rsidTr="00361246">
        <w:trPr>
          <w:trHeight w:val="251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4F45512" w14:textId="0759CD01" w:rsidR="00361246" w:rsidRPr="00361246" w:rsidRDefault="006F7FA1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="00361246"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Inicial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C7057E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CE7F90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A49546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A383C4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A6E2EF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00D71A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0A36DDEF" w14:textId="77777777" w:rsidTr="00361246">
        <w:trPr>
          <w:trHeight w:val="150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386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D41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criterios de medición inicial de los hechos económicos utilizados por la entidad corresponden al marco normativo aplicable a la entidad?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410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B9F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E03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93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F4F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2031" w14:textId="59A42DE6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Manual de Políticas Contables, se incorporaron los criterios para la medición inicial, según el marco normativo aplicable a las entidades de gobierno, los cuales son aplicados por la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 xml:space="preserve">entidad. (Punto 5 del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de la UPIT)</w:t>
            </w:r>
          </w:p>
        </w:tc>
      </w:tr>
      <w:tr w:rsidR="00361246" w:rsidRPr="00361246" w14:paraId="6C4BCFE0" w14:textId="77777777" w:rsidTr="00361246">
        <w:trPr>
          <w:trHeight w:val="150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BD0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21.1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10B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criterios de medición de los activos, pasivos, ingresos, gastos y costos contenidos en el marco normativo aplicable a la entidad, son de conocimiento del personal involucrado en el proceso contable?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D52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49F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C06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2A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9A9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7651" w14:textId="4F3BD75D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comité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técnico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sostenibilidad contable, realizado el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día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25 de agosto de 2022, mediante acta No. 1 se socializa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mediante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power point al personal involucrado en el proceso contable.</w:t>
            </w:r>
          </w:p>
        </w:tc>
      </w:tr>
      <w:tr w:rsidR="00361246" w:rsidRPr="00361246" w14:paraId="67E87634" w14:textId="77777777" w:rsidTr="00361246">
        <w:trPr>
          <w:trHeight w:val="1004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A50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21.2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0A08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criterios de medición de los activos, pasivos, ingresos, gastos y costos se aplican conforme al marco normativo que le corresponde a la entidad?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C4D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A0E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C99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492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FF7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1962" w14:textId="02E5F872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UPIT aplica los criterios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definidos 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conforme al marco normativo de GNC. </w:t>
            </w:r>
          </w:p>
        </w:tc>
      </w:tr>
      <w:tr w:rsidR="00361246" w:rsidRPr="00361246" w14:paraId="6C5FDFFE" w14:textId="77777777" w:rsidTr="00361246">
        <w:trPr>
          <w:trHeight w:val="28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8C2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4F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4618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C5CE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6DCA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C542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5DE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1,00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3F9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0CA345B9" w14:textId="77777777" w:rsidR="00361246" w:rsidRDefault="00361246"/>
    <w:p w14:paraId="4E1C3337" w14:textId="77777777" w:rsidR="00361246" w:rsidRDefault="00361246"/>
    <w:p w14:paraId="0B47C2D8" w14:textId="77777777" w:rsidR="00361246" w:rsidRDefault="00361246"/>
    <w:p w14:paraId="4607D017" w14:textId="77777777" w:rsidR="00361246" w:rsidRDefault="00361246"/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767"/>
        <w:gridCol w:w="563"/>
        <w:gridCol w:w="885"/>
        <w:gridCol w:w="1263"/>
        <w:gridCol w:w="1263"/>
        <w:gridCol w:w="1018"/>
        <w:gridCol w:w="1645"/>
      </w:tblGrid>
      <w:tr w:rsidR="00361246" w:rsidRPr="00361246" w14:paraId="505C84D8" w14:textId="77777777" w:rsidTr="00361246">
        <w:trPr>
          <w:trHeight w:val="253"/>
        </w:trPr>
        <w:tc>
          <w:tcPr>
            <w:tcW w:w="8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40E36E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15C4E3A8" w14:textId="77777777" w:rsidTr="00361246">
        <w:trPr>
          <w:trHeight w:val="253"/>
        </w:trPr>
        <w:tc>
          <w:tcPr>
            <w:tcW w:w="8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14:paraId="08613F4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21BDF388" w14:textId="77777777" w:rsidTr="00361246">
        <w:trPr>
          <w:trHeight w:val="25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D5E503D" w14:textId="63B2734C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Posterior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639147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6D21C8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59E1D7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DDD730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393166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CD064F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71E08B3B" w14:textId="77777777" w:rsidTr="00361246">
        <w:trPr>
          <w:trHeight w:val="101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46A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C50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calculan, de manera adecuada, los valores correspondientes a los procesos de depreciación, amortización, agotamiento y deterioro, según aplique?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DB9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EF5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AAA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FFC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BF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B46D" w14:textId="079C3CC6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cálculo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depreciación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,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amortización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 realiza de acuerdo a lo establecido en el manual de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contables, que obedece al marco normativo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 xml:space="preserve">aplicable a la entidad  </w:t>
            </w:r>
          </w:p>
        </w:tc>
      </w:tr>
      <w:tr w:rsidR="00361246" w:rsidRPr="00361246" w14:paraId="14346E14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3F8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22.1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B4E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cálculos de depreciación se realizan con base en lo establecido en la política?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9E6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3D1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8DB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805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C2E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D33C" w14:textId="24E3181C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verifico que el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cálculo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depreciación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 realiza de acuerdo a lo establecido 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contables.</w:t>
            </w:r>
          </w:p>
        </w:tc>
      </w:tr>
      <w:tr w:rsidR="00361246" w:rsidRPr="00361246" w14:paraId="47715083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C17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22.2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E80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 vida útil de la propiedad, planta y equipo, y la depreciación son objeto de revisión periódica?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CFF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5A4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037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5E1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A5B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3AC5" w14:textId="7D578C6A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realizan mensualmente y de acuerdo a lo establecido 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contables.</w:t>
            </w:r>
          </w:p>
        </w:tc>
      </w:tr>
      <w:tr w:rsidR="00361246" w:rsidRPr="00361246" w14:paraId="0364CFC2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8D3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22.3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C988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verifican los indicios de deterioro de los activos por lo menos al final del periodo contable?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29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699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965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179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09B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C595" w14:textId="653C4FE4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verifico al final del periodo el deterioro de los bienes y la vida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útil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, los cuales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evidencian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 revelaciones.</w:t>
            </w:r>
          </w:p>
        </w:tc>
      </w:tr>
      <w:tr w:rsidR="00361246" w:rsidRPr="00361246" w14:paraId="2EADBE43" w14:textId="77777777" w:rsidTr="00361246">
        <w:trPr>
          <w:trHeight w:val="101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2E4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3D1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encuentran plenamente establecidos los criterios de medición posterior para cada uno de los elementos de los estados financieros?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E3D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71D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6BA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511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AE8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311B" w14:textId="4A67CE5B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se evidencia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incorporación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los criterios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posterior en cada uno de los elementos de los estados financieros</w:t>
            </w:r>
          </w:p>
        </w:tc>
      </w:tr>
      <w:tr w:rsidR="00361246" w:rsidRPr="00361246" w14:paraId="7DFC7C07" w14:textId="77777777" w:rsidTr="00361246">
        <w:trPr>
          <w:trHeight w:val="12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E7E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7C4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criterios se establecen con base en el marco normativo aplicable a la entidad?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F84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586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C35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22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95E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F1F7" w14:textId="2581D410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Los criterios para la medición posterior de cada uno de los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elementos, se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encuentran establecidos con base en el marco normativo del Régimen de Contabilidad Pública aplicable a entidades de gobierno.</w:t>
            </w:r>
          </w:p>
        </w:tc>
      </w:tr>
      <w:tr w:rsidR="00361246" w:rsidRPr="00361246" w14:paraId="49342ED7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04F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23.2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4B4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identifican los hechos económicos que deben ser objeto de actualización posterior?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AA9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A3B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926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F9E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BD0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9287" w14:textId="50BBAD0B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cada una de las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Contables, se define los hechos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económicos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objeto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actualización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posterior</w:t>
            </w:r>
          </w:p>
        </w:tc>
      </w:tr>
      <w:tr w:rsidR="00361246" w:rsidRPr="00361246" w14:paraId="428E7D81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DA3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23.3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C107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que la medición posterior se efectúa con base en los criterios establecidos en el marco normativo aplicable a la entidad?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215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649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E2F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978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538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70AD" w14:textId="7D6900F6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posterior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efectúa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 lo establecido 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</w:t>
            </w:r>
          </w:p>
        </w:tc>
      </w:tr>
      <w:tr w:rsidR="00361246" w:rsidRPr="00361246" w14:paraId="193EBAC9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A3D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23.4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511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 actualización de los hechos económicos se realiza de manera oportuna?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8F7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930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E4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576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020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7015" w14:textId="266D2AB4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 se los hechos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económicos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objeto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posterior </w:t>
            </w:r>
          </w:p>
        </w:tc>
      </w:tr>
      <w:tr w:rsidR="00361246" w:rsidRPr="00361246" w14:paraId="0263373E" w14:textId="77777777" w:rsidTr="00361246">
        <w:trPr>
          <w:trHeight w:val="75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7B2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23.5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46C1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soportan las mediciones fundamentadas en estimaciones o juicios de profesionales expertos ajenos al proceso contable?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229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075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84D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305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B74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9B99" w14:textId="7792386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Las mediciones son fundamentadas, basadas con lo establecido en el Manual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Políticas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Contables</w:t>
            </w:r>
          </w:p>
        </w:tc>
      </w:tr>
      <w:tr w:rsidR="00361246" w:rsidRPr="00361246" w14:paraId="78B2FF43" w14:textId="77777777" w:rsidTr="00361246">
        <w:trPr>
          <w:trHeight w:val="28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0643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0F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5B85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04C9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7C72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EAC5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5AB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2,00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CFF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4C871580" w14:textId="77777777" w:rsidR="00361246" w:rsidRDefault="00361246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268"/>
        <w:gridCol w:w="478"/>
        <w:gridCol w:w="735"/>
        <w:gridCol w:w="1383"/>
        <w:gridCol w:w="1037"/>
        <w:gridCol w:w="841"/>
        <w:gridCol w:w="2499"/>
      </w:tblGrid>
      <w:tr w:rsidR="00361246" w:rsidRPr="00361246" w14:paraId="2678A20C" w14:textId="77777777" w:rsidTr="00361246">
        <w:trPr>
          <w:trHeight w:val="255"/>
        </w:trPr>
        <w:tc>
          <w:tcPr>
            <w:tcW w:w="8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6FA84C0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3E1CB90B" w14:textId="77777777" w:rsidTr="00361246">
        <w:trPr>
          <w:trHeight w:val="255"/>
        </w:trPr>
        <w:tc>
          <w:tcPr>
            <w:tcW w:w="8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14:paraId="7CED7E8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6FFF255D" w14:textId="77777777" w:rsidTr="00361246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EF3C252" w14:textId="46E8953D" w:rsidR="00361246" w:rsidRPr="00361246" w:rsidRDefault="006F7FA1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Presentación</w:t>
            </w:r>
            <w:r w:rsidR="00361246"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Estados Financieros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872B02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2DBFB5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C47180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E714D9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BBB49B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B06D3F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3669D446" w14:textId="77777777" w:rsidTr="00361246">
        <w:trPr>
          <w:trHeight w:val="102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9512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16DE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¿Se elaboran y presentan oportunamente los estados financieros a los usuarios de la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información financiera?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359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ADC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C56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65F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21B05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AE63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elabora y presenta oportunamente los estados financieros a los usuarios internos y externos.</w:t>
            </w:r>
          </w:p>
        </w:tc>
      </w:tr>
      <w:tr w:rsidR="00361246" w:rsidRPr="00361246" w14:paraId="028378D5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3FC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4733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cuenta con una política, directriz, procedimiento, guía o lineamiento para la divulgación de los estados financieros?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592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F1B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945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090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F29B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BD07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se encuentra elaborado los procedimientos directrices guías y lineamientos para que la divulgación de los estados financieros sea oportuna.</w:t>
            </w:r>
          </w:p>
        </w:tc>
      </w:tr>
      <w:tr w:rsidR="00361246" w:rsidRPr="00361246" w14:paraId="1D2D8740" w14:textId="77777777" w:rsidTr="00361246">
        <w:trPr>
          <w:trHeight w:val="229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3B3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24.2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F9B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cumple la política, directriz, procedimiento, guía o lineamiento establecida para la divulgación de los estados financieros?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627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ADF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8B1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PARCIALMENTE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2B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391F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ED0" w14:textId="4326C1E3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entidad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encuentra definiendo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dichos lineamientos que permitan la divulgación de los estados financieros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.,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sin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embargo,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se realiza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publicación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en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página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web, https://upit.gov.co/?page_id=130, en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cual se ha realizado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publicación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enero a abril 2022.</w:t>
            </w:r>
          </w:p>
        </w:tc>
      </w:tr>
      <w:tr w:rsidR="00361246" w:rsidRPr="00361246" w14:paraId="4C697C3B" w14:textId="77777777" w:rsidTr="00361246">
        <w:trPr>
          <w:trHeight w:val="102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52E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5727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tienen en cuenta los estados financieros para la toma de decisiones en la gestión de la entidad?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761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509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097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458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BBA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183C" w14:textId="455C8CBD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Los estados financieros son instrumento para toma de decisiones en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gestión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la entidad </w:t>
            </w:r>
          </w:p>
        </w:tc>
      </w:tr>
      <w:tr w:rsidR="00361246" w:rsidRPr="00361246" w14:paraId="14D36023" w14:textId="77777777" w:rsidTr="00361246">
        <w:trPr>
          <w:trHeight w:val="204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B36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24.4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892D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elabora el juego completo de estados financieros, con corte al 31 de diciembre?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3D4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433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F22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172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4F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244D" w14:textId="552F6AD0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Al cierre de la vigencia 2022 la entidad elaboro los estados financieros cumpliendo con el juego completo que incluye estado de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situación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financiera, estado de resultados, estado en el cambio del patrimonio, con sus respectivas notas.</w:t>
            </w:r>
          </w:p>
        </w:tc>
      </w:tr>
      <w:tr w:rsidR="00361246" w:rsidRPr="00361246" w14:paraId="7722EF01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11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79BD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¿Las cifras contenidas en los estados financieros coinciden con los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saldos de los libros de contabilidad?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129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F6E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0A2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8AC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E8BDC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F62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Las cifras contenidas en los estados financieros coinciden con los saldos de los libros de contabilidad de acuerdo con SIIF nación.</w:t>
            </w:r>
          </w:p>
        </w:tc>
      </w:tr>
      <w:tr w:rsidR="00361246" w:rsidRPr="00361246" w14:paraId="76EE2449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013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25.1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343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realizan verificaciones de los saldos de las partidas de los estados financieros previo a la presentación de los estados financieros?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9D7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C20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84F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DBF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73F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5BD1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verifica los saldos de las partidas antes de presentar los estados financieros </w:t>
            </w:r>
          </w:p>
        </w:tc>
      </w:tr>
      <w:tr w:rsidR="00361246" w:rsidRPr="00361246" w14:paraId="014D219C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2E9A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4DB8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utiliza un sistema de indicadores para analizar e interpretar la realidad financiera de la entidad?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445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95C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84E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85C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B5C5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4EA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 la fecha la Entidad no cuenta con un sistema para la verificación de indicadores, se realiza un análisis de los reportes que genera SIIF Nación.</w:t>
            </w:r>
          </w:p>
        </w:tc>
      </w:tr>
      <w:tr w:rsidR="00361246" w:rsidRPr="00361246" w14:paraId="776D3020" w14:textId="77777777" w:rsidTr="00361246">
        <w:trPr>
          <w:trHeight w:val="76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FC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26.1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13E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indicadores se ajustan a las necesidades de la entidad y del proceso contable?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C72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A5F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03C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83E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4CAE2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0D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se cuentan con indicadores </w:t>
            </w:r>
          </w:p>
        </w:tc>
      </w:tr>
      <w:tr w:rsidR="00361246" w:rsidRPr="00361246" w14:paraId="4363A03F" w14:textId="77777777" w:rsidTr="00361246">
        <w:trPr>
          <w:trHeight w:val="76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400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26.2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FE8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la fiabilidad de la información utilizada como insumo para la elaboración del indicador?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141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FBF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DFA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826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56B9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58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se cuentan con indicadores </w:t>
            </w:r>
          </w:p>
        </w:tc>
      </w:tr>
      <w:tr w:rsidR="00361246" w:rsidRPr="00361246" w14:paraId="337B9B86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5BD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2CF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¿La información financiera presenta la suficiente ilustración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para su adecuada comprensión por parte de los usuarios?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5AA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48E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DC1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58D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35C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C8D6" w14:textId="2F448170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Los estados financieros e información financiera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la suficiente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ilustración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para una adecuada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comprensión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por parte de los usuarios </w:t>
            </w:r>
          </w:p>
        </w:tc>
      </w:tr>
      <w:tr w:rsidR="00361246" w:rsidRPr="00361246" w14:paraId="3E4546A4" w14:textId="77777777" w:rsidTr="00361246">
        <w:trPr>
          <w:trHeight w:val="178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3F1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464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notas a los estados financieros cumplen con las revelaciones requeridas en las normas para el reconocimiento, medición, revelación y presentación de los hechos económicos del marco normativo aplicable?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BB0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EB7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B60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122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DD7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73D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Las notas a los estados financieros cumplen con las revelaciones requeridas para el reconocimiento, medición y revelación para la presentación de los hechos económicos de la entidad.</w:t>
            </w:r>
          </w:p>
        </w:tc>
      </w:tr>
      <w:tr w:rsidR="00361246" w:rsidRPr="00361246" w14:paraId="440D871E" w14:textId="77777777" w:rsidTr="00361246">
        <w:trPr>
          <w:trHeight w:val="15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D04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27.2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1CD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¿El contenido de las notas a los estados financieros revela en forma suficiente la información de tipo cualitativo y cuantitativo para que sea útil al usuario?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312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857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9C6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B67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BCE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D2ED" w14:textId="775AED1E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contenida en las notas a los estados financieros revela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cualitativa y cuantitativa fiel y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útil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para los usuarios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y acorde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política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 </w:t>
            </w:r>
          </w:p>
        </w:tc>
      </w:tr>
      <w:tr w:rsidR="00361246" w:rsidRPr="00361246" w14:paraId="45BFFCA2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6C8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6C3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¿En las notas a los estados financieros, se hace referencia a las variaciones significativas que se presentan de un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periodo a otro?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CA7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7E0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352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AB0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27C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B6EB" w14:textId="3477A59F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realiza comparativo con el año inmediatamente anterior y en las notas se detalla las variaciones significativas que se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un periodo a otro.</w:t>
            </w:r>
          </w:p>
        </w:tc>
      </w:tr>
      <w:tr w:rsidR="00361246" w:rsidRPr="00361246" w14:paraId="10393282" w14:textId="77777777" w:rsidTr="00361246">
        <w:trPr>
          <w:trHeight w:val="178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B39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27.4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481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notas explican la aplicación de metodologías o la aplicación de juicios profesionales en la preparación de la información, cuando a ello hay lugar?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DEF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757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CA4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ABE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FAF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4F0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Las notas fueron elaboradas de acuerdo al marco normativo de la Contaduría General de la Nación cuya aplicación genera juicios profesionales en la preparación y presentación de la información financiera.</w:t>
            </w:r>
          </w:p>
        </w:tc>
      </w:tr>
      <w:tr w:rsidR="00361246" w:rsidRPr="00361246" w14:paraId="7B706F86" w14:textId="77777777" w:rsidTr="00361246">
        <w:trPr>
          <w:trHeight w:val="12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67D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27.5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68F1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corrobora que la información presentada a los distintos usuarios de la información sea consistente?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A41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E01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165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CE7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64C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130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En el proceso contable se realiza la verificación análisis y revisión de los diferentes informes para que la información sea consistente.</w:t>
            </w:r>
          </w:p>
        </w:tc>
      </w:tr>
      <w:tr w:rsidR="00361246" w:rsidRPr="00361246" w14:paraId="38799C3D" w14:textId="77777777" w:rsidTr="00361246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626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445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850A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C7FE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42AD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B3CC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87D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3,27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A1D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4F73B9C7" w14:textId="77777777" w:rsidR="00361246" w:rsidRDefault="00361246"/>
    <w:p w14:paraId="1550D56B" w14:textId="77777777" w:rsidR="00361246" w:rsidRDefault="00361246"/>
    <w:p w14:paraId="250B60BB" w14:textId="77777777" w:rsidR="00361246" w:rsidRDefault="00361246"/>
    <w:tbl>
      <w:tblPr>
        <w:tblW w:w="8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688"/>
        <w:gridCol w:w="563"/>
        <w:gridCol w:w="885"/>
        <w:gridCol w:w="1263"/>
        <w:gridCol w:w="1263"/>
        <w:gridCol w:w="1018"/>
        <w:gridCol w:w="1783"/>
      </w:tblGrid>
      <w:tr w:rsidR="00361246" w:rsidRPr="00361246" w14:paraId="25A494B8" w14:textId="77777777" w:rsidTr="00361246">
        <w:trPr>
          <w:trHeight w:val="413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CC7521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73D92110" w14:textId="77777777" w:rsidTr="00361246">
        <w:trPr>
          <w:trHeight w:val="413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14:paraId="35EA2D5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1AE853A4" w14:textId="77777777" w:rsidTr="00361246">
        <w:trPr>
          <w:trHeight w:val="413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BD65C32" w14:textId="647F5BB9" w:rsidR="00361246" w:rsidRPr="00361246" w:rsidRDefault="006F7FA1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Rendición</w:t>
            </w:r>
            <w:r w:rsidR="00361246"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Cuentas e </w:t>
            </w: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</w:t>
            </w:r>
            <w:r w:rsidR="00361246"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 Partes Interesadas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99BCDE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9369B0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EE6A81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1CB9C4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B37176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B8A7CF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0C43CDAC" w14:textId="77777777" w:rsidTr="00361246">
        <w:trPr>
          <w:trHeight w:val="2483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7A7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0B4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¿Para las entidades obligadas a realizar rendición de cuentas, se presentan los estados financieros en la misma? Si la entidad no está obligada a rendición de cuentas, ¿se prepara información financiera con propósitos específicos que propendan por la transparencia?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F5B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538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716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827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C14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A7C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La entidad presenta sus estados financieros con el propósito que demuestren su transparencia y las notas explican su trazabilidad.</w:t>
            </w:r>
          </w:p>
        </w:tc>
      </w:tr>
      <w:tr w:rsidR="00361246" w:rsidRPr="00361246" w14:paraId="6F9C7FE5" w14:textId="77777777" w:rsidTr="00361246">
        <w:trPr>
          <w:trHeight w:val="165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F86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28.1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6F9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la consistencia de las cifras presentadas en los estados financieros con las presentadas en la rendición de cuentas o la presentada para propósitos específicos?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200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093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0D8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7EC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D76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A52C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Los estados financieros son revisados, verificados con el propósito que sean confiables, útiles y transparentes para la información de los interesados.</w:t>
            </w:r>
          </w:p>
        </w:tc>
      </w:tr>
      <w:tr w:rsidR="00361246" w:rsidRPr="00361246" w14:paraId="23AB1033" w14:textId="77777777" w:rsidTr="00361246">
        <w:trPr>
          <w:trHeight w:val="1241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583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28.2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491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presentan explicaciones que faciliten a los diferentes usuarios la comprensión de la información financiera presentada?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DA2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073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F5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54E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E8D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FA0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Se presentan explicaciones ilustrativas para la buena compresión de la información financiera presentada.</w:t>
            </w:r>
          </w:p>
        </w:tc>
      </w:tr>
      <w:tr w:rsidR="00361246" w:rsidRPr="00361246" w14:paraId="230369DE" w14:textId="77777777" w:rsidTr="00361246">
        <w:trPr>
          <w:trHeight w:val="46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41B3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73A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933C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210A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57F8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AF0B" w14:textId="77777777" w:rsidR="00361246" w:rsidRPr="00361246" w:rsidRDefault="00361246" w:rsidP="003612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0CB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1,00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B80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0FD6D23A" w14:textId="77777777" w:rsidR="00361246" w:rsidRDefault="00361246"/>
    <w:p w14:paraId="21FDCDDE" w14:textId="77777777" w:rsidR="00361246" w:rsidRDefault="00361246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784"/>
        <w:gridCol w:w="563"/>
        <w:gridCol w:w="885"/>
        <w:gridCol w:w="1263"/>
        <w:gridCol w:w="1263"/>
        <w:gridCol w:w="1018"/>
        <w:gridCol w:w="1625"/>
      </w:tblGrid>
      <w:tr w:rsidR="00361246" w:rsidRPr="00361246" w14:paraId="7D728587" w14:textId="77777777" w:rsidTr="00361246">
        <w:trPr>
          <w:trHeight w:val="253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690009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MARCO DE REFERENCIA DEL PROCESO CONTABLE</w:t>
            </w:r>
          </w:p>
        </w:tc>
      </w:tr>
      <w:tr w:rsidR="00361246" w:rsidRPr="00361246" w14:paraId="27E9E289" w14:textId="77777777" w:rsidTr="00361246">
        <w:trPr>
          <w:trHeight w:val="253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vAlign w:val="center"/>
            <w:hideMark/>
          </w:tcPr>
          <w:p w14:paraId="2D79777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RECONOCIMIENTO</w:t>
            </w:r>
          </w:p>
        </w:tc>
      </w:tr>
      <w:tr w:rsidR="00361246" w:rsidRPr="00361246" w14:paraId="2E97C359" w14:textId="77777777" w:rsidTr="00361246">
        <w:trPr>
          <w:trHeight w:val="253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2A4595E" w14:textId="52C2ACE9" w:rsidR="00361246" w:rsidRPr="00361246" w:rsidRDefault="006F7FA1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Gestión</w:t>
            </w:r>
            <w:r w:rsidR="00361246"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del Riesgo Contable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6053C7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1ECBE5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Máximo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24E58F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Calificación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2B8856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Factor de Calificación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BE38430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Puntaje Obtenido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252D3E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</w:tr>
      <w:tr w:rsidR="00361246" w:rsidRPr="00361246" w14:paraId="73041566" w14:textId="77777777" w:rsidTr="00361246">
        <w:trPr>
          <w:trHeight w:val="10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E7E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4A9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¿Existen mecanismos de identificación y monitoreo de los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riesgos de índole contable?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2E0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1AE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0CB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ECC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B2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AB15" w14:textId="18F6B746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entidad no cuenta con mecanismos que permitan monitorear el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 xml:space="preserve">riesgo contable. Se encuentran en el proceso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elaboración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los mismos.</w:t>
            </w:r>
          </w:p>
        </w:tc>
      </w:tr>
      <w:tr w:rsidR="00361246" w:rsidRPr="00361246" w14:paraId="7DA13CD2" w14:textId="77777777" w:rsidTr="00361246">
        <w:trPr>
          <w:trHeight w:val="50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E2E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29.1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046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deja evidencia de la aplicación de estos mecanismos?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8B5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F4C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648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D6D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13D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936B" w14:textId="23FF28B4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 se cuenta con mecanismos, por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tanto,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no se tiene evidencia.</w:t>
            </w:r>
          </w:p>
        </w:tc>
      </w:tr>
      <w:tr w:rsidR="00361246" w:rsidRPr="00361246" w14:paraId="3449A0E7" w14:textId="77777777" w:rsidTr="00361246">
        <w:trPr>
          <w:trHeight w:val="76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7330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A5B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ha establecido la probabilidad de ocurrencia y el impacto que puede tener, en la entidad, la materialización de los riesgos de índole contable?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B90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D69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9DF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277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B6C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F938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Teniendo en cuenta que no se han implementado mecanismos, no es posible medir ni identificar el impacto de los riesgos.</w:t>
            </w:r>
          </w:p>
        </w:tc>
      </w:tr>
      <w:tr w:rsidR="00361246" w:rsidRPr="00361246" w14:paraId="5844D6B3" w14:textId="77777777" w:rsidTr="00361246">
        <w:trPr>
          <w:trHeight w:val="10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834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027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analizan y se da un tratamiento adecuado a los riesgos de índole contable en forma permanente?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020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3B0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965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922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900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165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Teniendo en cuenta que no se han implementado mecanismos que identifiquen los riesgos, no se da tratamiento a dichos riesgos.</w:t>
            </w:r>
          </w:p>
        </w:tc>
      </w:tr>
      <w:tr w:rsidR="00361246" w:rsidRPr="00361246" w14:paraId="4B8F541E" w14:textId="77777777" w:rsidTr="00361246">
        <w:trPr>
          <w:trHeight w:val="50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707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30.2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2E9F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riesgos identificados se revisan y actualizan periódicamente?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60F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412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F8B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666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8D6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6D2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 acuerdo a las respuestas anteriores, no se realiza seguimiento.</w:t>
            </w:r>
          </w:p>
        </w:tc>
      </w:tr>
      <w:tr w:rsidR="00361246" w:rsidRPr="00361246" w14:paraId="1729806D" w14:textId="77777777" w:rsidTr="00361246">
        <w:trPr>
          <w:trHeight w:val="76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E78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30.3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FDB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han establecido controles que permitan mitigar o neutralizar la ocurrencia de cada riesgo identificado?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F68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507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B52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D58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B53E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DD46" w14:textId="7E35456B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De acuerdo a las respuestas anteriores, no se han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establecido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dichos controles.</w:t>
            </w:r>
          </w:p>
        </w:tc>
      </w:tr>
      <w:tr w:rsidR="00361246" w:rsidRPr="00361246" w14:paraId="23B76886" w14:textId="77777777" w:rsidTr="00361246">
        <w:trPr>
          <w:trHeight w:val="10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9FB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30.4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888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realizan autoevaluaciones periódicas para determinar la eficacia de los controles implementados en cada una de las actividades del proceso contable?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1EC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5E3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EDA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BD6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699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B1A2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 acuerdo a las respuestas anteriores, no existen controles.</w:t>
            </w:r>
          </w:p>
        </w:tc>
      </w:tr>
      <w:tr w:rsidR="00361246" w:rsidRPr="00361246" w14:paraId="45392F80" w14:textId="77777777" w:rsidTr="00361246">
        <w:trPr>
          <w:trHeight w:val="1776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199E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31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CF6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¿Los funcionarios involucrados en el proceso contable poseen las habilidades y competencias necesarias para su ejecución?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0A1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06B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755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C3F4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101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929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El personal del área contable cuenta con las habilidades y competencias para llevar a cabo el proceso contable de la Entidad. Esto de acuerdo con el perfil académico, profesional y la experiencia evaluada en las hojas de vida y las entrevistas del personal que ingreso recientemente a la Unidad. </w:t>
            </w:r>
          </w:p>
        </w:tc>
      </w:tr>
      <w:tr w:rsidR="00361246" w:rsidRPr="00361246" w14:paraId="3D38F740" w14:textId="77777777" w:rsidTr="00361246">
        <w:trPr>
          <w:trHeight w:val="10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256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31.1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D8F2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¿Las personas involucradas en el proceso contable están capacitadas para identificar los hechos económicos propios de la entidad que tienen impacto contable?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AC8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B77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5D2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2E16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D84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322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Durante el año 2022 se realizaron diferentes capacitaciones relacionadas con los temas contables y normatividad expedida por la CGN</w:t>
            </w:r>
          </w:p>
        </w:tc>
      </w:tr>
      <w:tr w:rsidR="00361246" w:rsidRPr="00361246" w14:paraId="31506A3A" w14:textId="77777777" w:rsidTr="00361246">
        <w:trPr>
          <w:trHeight w:val="10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2353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F040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¿Dentro del plan institucional de capacitación se considera el desarrollo de competencias y actualización permanente del personal involucrado en el proceso contable?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9C9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48CA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317F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8CE2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995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4CE9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Dentro del plan institucional de capacitación se incluye la capacitación al personal del proceso contable sobre competencias y actualizaciones.</w:t>
            </w:r>
          </w:p>
        </w:tc>
      </w:tr>
      <w:tr w:rsidR="00361246" w:rsidRPr="00361246" w14:paraId="67F5CCD2" w14:textId="77777777" w:rsidTr="00361246">
        <w:trPr>
          <w:trHeight w:val="76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F5FA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32.1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7FE4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¿Se verifica la ejecución del plan de capacitación?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2247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A61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2901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0B5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EBBC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710C" w14:textId="600D2A96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se verifico la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ejecución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del plan de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capacitación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 lo relacionado en el </w:t>
            </w:r>
            <w:r w:rsidR="006F7FA1"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área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contable.</w:t>
            </w:r>
          </w:p>
        </w:tc>
      </w:tr>
      <w:tr w:rsidR="00361246" w:rsidRPr="00361246" w14:paraId="67281B1E" w14:textId="77777777" w:rsidTr="00361246">
        <w:trPr>
          <w:trHeight w:val="76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910B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32.2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3D65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¿Se verifica que los programas de capacitación desarrollados apuntan al mejoramiento de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competencias y habilidades?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22D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Ef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28BD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8898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EFF5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6CF3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0,35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6776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La entidad realizo el plan de capacitaciones apuntando al mejoramiento </w:t>
            </w: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de competencias y habilidades.</w:t>
            </w:r>
          </w:p>
        </w:tc>
      </w:tr>
      <w:tr w:rsidR="00361246" w:rsidRPr="00361246" w14:paraId="55E6ECC3" w14:textId="77777777" w:rsidTr="00361246">
        <w:trPr>
          <w:trHeight w:val="283"/>
        </w:trPr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8A5347B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F959" w14:textId="77777777" w:rsidR="00361246" w:rsidRPr="00361246" w:rsidRDefault="00361246" w:rsidP="00361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23,90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9AAF" w14:textId="77777777" w:rsidR="00361246" w:rsidRPr="00361246" w:rsidRDefault="00361246" w:rsidP="00361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12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</w:tbl>
    <w:p w14:paraId="54920380" w14:textId="77777777" w:rsidR="00361246" w:rsidRDefault="00361246"/>
    <w:sectPr w:rsidR="00361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4EBE" w14:textId="77777777" w:rsidR="0077272D" w:rsidRDefault="0077272D" w:rsidP="00864765">
      <w:pPr>
        <w:spacing w:after="0" w:line="240" w:lineRule="auto"/>
      </w:pPr>
      <w:r>
        <w:separator/>
      </w:r>
    </w:p>
  </w:endnote>
  <w:endnote w:type="continuationSeparator" w:id="0">
    <w:p w14:paraId="5B4C5D93" w14:textId="77777777" w:rsidR="0077272D" w:rsidRDefault="0077272D" w:rsidP="0086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824B" w14:textId="77777777" w:rsidR="0077272D" w:rsidRDefault="0077272D" w:rsidP="00864765">
      <w:pPr>
        <w:spacing w:after="0" w:line="240" w:lineRule="auto"/>
      </w:pPr>
      <w:r>
        <w:separator/>
      </w:r>
    </w:p>
  </w:footnote>
  <w:footnote w:type="continuationSeparator" w:id="0">
    <w:p w14:paraId="56C0AABC" w14:textId="77777777" w:rsidR="0077272D" w:rsidRDefault="0077272D" w:rsidP="00864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65"/>
    <w:rsid w:val="000E540C"/>
    <w:rsid w:val="00361246"/>
    <w:rsid w:val="005F4D30"/>
    <w:rsid w:val="006F7FA1"/>
    <w:rsid w:val="0077272D"/>
    <w:rsid w:val="00864765"/>
    <w:rsid w:val="00F135AB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0531"/>
  <w15:chartTrackingRefBased/>
  <w15:docId w15:val="{141D5D6E-BA09-4171-ACDC-1F1B530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765"/>
  </w:style>
  <w:style w:type="paragraph" w:styleId="Piedepgina">
    <w:name w:val="footer"/>
    <w:basedOn w:val="Normal"/>
    <w:link w:val="PiedepginaCar"/>
    <w:uiPriority w:val="99"/>
    <w:unhideWhenUsed/>
    <w:rsid w:val="0086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4444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yameth loaisa rivera</dc:creator>
  <cp:keywords/>
  <dc:description/>
  <cp:lastModifiedBy>gina yameth loaisa rivera</cp:lastModifiedBy>
  <cp:revision>1</cp:revision>
  <dcterms:created xsi:type="dcterms:W3CDTF">2023-06-13T22:08:00Z</dcterms:created>
  <dcterms:modified xsi:type="dcterms:W3CDTF">2023-06-13T22:36:00Z</dcterms:modified>
</cp:coreProperties>
</file>